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5624ED" w:rsidTr="008E3AED">
        <w:tc>
          <w:tcPr>
            <w:tcW w:w="9210" w:type="dxa"/>
          </w:tcPr>
          <w:p w:rsidR="005624ED" w:rsidRDefault="005172B8">
            <w:r>
              <w:rPr>
                <w:noProof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alt="" style="position:absolute;margin-left:368.8pt;margin-top:12.05pt;width:80.9pt;height:87.65pt;z-index:-2;mso-position-horizontal-relative:margin;mso-position-vertical-relative:margin">
                  <v:imagedata r:id="rId8" o:title="" cropleft="9571f" cropright="9699f"/>
                  <w10:wrap type="square" side="left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 FEDERASYONU</w: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2E1208"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BÖLGE BİRİNCİLİKLERİ YÖNERGESİ</w:t>
            </w:r>
          </w:p>
          <w:p w:rsidR="005624ED" w:rsidRPr="008E3AED" w:rsidRDefault="005172B8" w:rsidP="008E3AE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172B8">
              <w:rPr>
                <w:noProof/>
                <w:lang w:val="tr-TR" w:eastAsia="tr-TR"/>
              </w:rPr>
              <w:pict>
                <v:shape id="_x0000_s1043" type="#_x0000_t75" style="position:absolute;left:0;text-align:left;margin-left:9.55pt;margin-top:17.8pt;width:83.05pt;height:83.0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/>
              </w:rPr>
            </w:pPr>
            <w:r w:rsidRPr="008E3AED">
              <w:rPr>
                <w:rFonts w:ascii="Cambria" w:hAnsi="Cambria"/>
                <w:lang w:val="tr-TR"/>
              </w:rPr>
              <w:t>0392 223 61 33</w:t>
            </w:r>
          </w:p>
          <w:p w:rsidR="005624ED" w:rsidRPr="008E3AED" w:rsidRDefault="005172B8" w:rsidP="008E3AED">
            <w:pPr>
              <w:jc w:val="center"/>
              <w:rPr>
                <w:rFonts w:ascii="Cambria" w:hAnsi="Cambria"/>
              </w:rPr>
            </w:pPr>
            <w:hyperlink r:id="rId10" w:history="1">
              <w:r w:rsidR="005624ED" w:rsidRPr="008E3AED">
                <w:rPr>
                  <w:rStyle w:val="Kpr"/>
                  <w:rFonts w:ascii="Cambria" w:hAnsi="Cambria"/>
                  <w:color w:val="auto"/>
                  <w:u w:val="none"/>
                  <w:lang w:val="tr-TR"/>
                </w:rPr>
                <w:t>iletisim@kksf.org</w:t>
              </w:r>
            </w:hyperlink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 w:eastAsia="tr-TR"/>
              </w:rPr>
            </w:pPr>
            <w:r w:rsidRPr="008E3AED">
              <w:rPr>
                <w:rFonts w:ascii="Cambria" w:hAnsi="Cambria"/>
              </w:rPr>
              <w:t>kksf.org</w:t>
            </w:r>
          </w:p>
          <w:p w:rsidR="005624ED" w:rsidRPr="005624ED" w:rsidRDefault="005624ED" w:rsidP="008E3AED">
            <w:pPr>
              <w:tabs>
                <w:tab w:val="left" w:pos="6585"/>
              </w:tabs>
            </w:pPr>
            <w:r>
              <w:tab/>
            </w:r>
          </w:p>
        </w:tc>
      </w:tr>
    </w:tbl>
    <w:p w:rsidR="00783559" w:rsidRDefault="00783559"/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Amaç: KKSF Tüzüğünde belirtilen görevlerden biri olan bölge birinciliklerinin amacı,  KKTC genelinde ilçelerimizde satranç sporunu teşvik etmek, tanıtmak, sevdirmek ve her bölgenin birincilerini ve ayrıca KKTC Genel Birinciliğine katılacak sporcuları belirlemektir. 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Organizasyon: Kuzey Kıbrıs Satranç Federasyonu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ve Bitiş Tarihi: 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20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Temmuz –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15 Eylül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201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Saati: 19.00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(Bölgeler başlama saatini hakemin onayı ile değiştirebilirler.)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Tempo: 60 dakika + 30 saniye eklemeli.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Yöntem: 5 Tur Bireysel İsviçre Yöntemi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(Katılım sayısı 32’nin üzerinde olursa 6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tur,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64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’ün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üzeri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nde olursa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7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 yapılacaktır.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Bölgeler: Lefkoşa, Mağusa, Girne, Güzelyurt ve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Yenierenköy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/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İskele Bölgeleri.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Katılım Şartları: 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KKTC vatandaşları ile KKTC’de bulunan yabancı uyruklu sporcular, KKSF Lisansı çıkartmak koşuluyla yarışmalara katılabilir. Sporcular ikamet ettikleri bölgede yarışmalara katılabilirler. Ancak KKTC vatandaşı olmayan sporcular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katılamazlar.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 her bölgede en az 16 sporcunun katılımı ile yapılır.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Bu sayının altında katılım olması halinde yarışma statüsü KKSF Yönetim Kurulu tarafından belirlenir. </w:t>
      </w:r>
    </w:p>
    <w:p w:rsidR="00EE6AF7" w:rsidRPr="00EE6AF7" w:rsidRDefault="00EE6AF7" w:rsidP="00EE6AF7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Kazanılacak Hak: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="0088757B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katılabilmek için, Bölge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B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irinciliklerine katılmak ve tamamlamak gerekir. Her bölgede 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ilk 3 ve ilk 3’ün dışında kalan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KKTC’li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sayısının %2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oranında Final Kontenjanı verilecektir.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UKD’si veya ELO’su 19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ve üzerinde olan erkekler ile UKD’si veya ELO’su 1700 ve üzerinde olan kadınlar Finallere direkt katılma hakkına sahiptirler. 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Birinciliklerine sağlık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seyahat neden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leriyle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katılamayanlar, durumlarını belirten belgeleri ile birlikte KKSF Yönetim Kuruluna başvurmaları halinde durumları değerlendirilip karara bağlanacaktır.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ind w:left="709" w:hanging="567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30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TL’dir. Katılım ücreti KKSF hesabına veya Federasyon ofisine turnuva başlamadan önce yatırılmalı dekont turnuva hakemine verilmelidir.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Son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,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 müracaat tarihine kadar kayıt ücretini yatırmayıp yarışmalara katılmak isteyen sporcular katılım ücretini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TL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olarak yatırmak zorundadır.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783559" w:rsidRPr="00EE6AF7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8022E6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Türk Bankası Ltd. Lefkoşa Köşklü</w:t>
      </w:r>
      <w:r w:rsidR="00783559" w:rsidRPr="008022E6">
        <w:rPr>
          <w:rFonts w:asciiTheme="minorHAnsi" w:hAnsiTheme="minorHAnsi" w:cstheme="minorHAnsi"/>
          <w:b/>
          <w:sz w:val="28"/>
          <w:szCs w:val="28"/>
          <w:lang w:val="tr-TR"/>
        </w:rPr>
        <w:t xml:space="preserve">çiftlik Şubesi. </w:t>
      </w:r>
    </w:p>
    <w:p w:rsidR="00324B70" w:rsidRPr="008022E6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Hesap No: 24264</w:t>
      </w:r>
    </w:p>
    <w:p w:rsidR="00324B70" w:rsidRPr="008022E6" w:rsidRDefault="00324B70" w:rsidP="00660EA0">
      <w:pPr>
        <w:ind w:left="709" w:hanging="567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Önemli Not: Katılım ücreti Bölgelerde bulunan Türk Bankalarına da yatırılabilir.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Son Başvuru Tarihi: Her bölgede belirlenen başlama tarihin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3 gün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önce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dir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.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Federasyona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yapılacaktır.</w:t>
      </w:r>
      <w:r w:rsidR="00660EA0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Yatırımlarla ilgili dekont sunmayan sporcular yarışmalara alınmaz.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Değerlendirme: Yarışma verileri UKD hesaplamalarında kullanılacaktır.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Bekleme Süresi: Tur başlamasından 15 dakika içerisinde masasında hazır olmayan oyuncu hükmen mağlup sayılır.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Eşitlik Bozma: </w:t>
      </w: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Buchholz-1 ve -2 (alttan), Sonneborn-Berger puanlarına ve galibiyet sayısına bakılır.</w:t>
      </w:r>
    </w:p>
    <w:p w:rsidR="00D15F44" w:rsidRPr="00EE6AF7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İtiraz: İtiraz Kurulu oluşturulmayacaktır. Başhakemin kararı kesindir.</w:t>
      </w:r>
    </w:p>
    <w:p w:rsidR="00783559" w:rsidRDefault="00783559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Pr="00EE6AF7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D15F44" w:rsidRDefault="00324B70" w:rsidP="00D15F44">
      <w:pPr>
        <w:numPr>
          <w:ilvl w:val="0"/>
          <w:numId w:val="10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BÖLGE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YARIŞMALARI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TARİH,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YER ve HAKEMLER</w:t>
      </w:r>
      <w:r w:rsidR="00300448" w:rsidRPr="00D15F44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: </w:t>
      </w: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783559" w:rsidRPr="00D15F44" w:rsidTr="00D15F44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83559" w:rsidRPr="00D15F44" w:rsidRDefault="00783559" w:rsidP="007835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GİRNE BÖLGESİ</w:t>
            </w:r>
          </w:p>
        </w:tc>
      </w:tr>
      <w:tr w:rsidR="00783559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783559" w:rsidRPr="00D15F44" w:rsidRDefault="00783559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783559" w:rsidRPr="00D15F44" w:rsidRDefault="008022E6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CENGİZ</w:t>
            </w:r>
            <w:r w:rsidR="00783559"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HASMAN</w:t>
            </w:r>
          </w:p>
        </w:tc>
      </w:tr>
      <w:tr w:rsidR="00783559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783559" w:rsidRPr="00D15F44" w:rsidRDefault="00783559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783559" w:rsidRPr="00D15F44" w:rsidRDefault="00783559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473BE1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15F44" w:rsidRPr="00D15F44" w:rsidRDefault="00D15F44" w:rsidP="000471EC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15F44" w:rsidRPr="00D15F44" w:rsidRDefault="00D15F44" w:rsidP="007835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MAĞUSA BÖLGESİ</w:t>
            </w: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15F44" w:rsidRPr="00D15F44" w:rsidRDefault="008022E6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</w:t>
            </w:r>
            <w:r w:rsidR="00D15F44"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DOĞAN</w:t>
            </w: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15F44" w:rsidRPr="00D15F44" w:rsidRDefault="00D15F44" w:rsidP="004536D1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D15F44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15F44" w:rsidRPr="00D15F44" w:rsidRDefault="00D15F44" w:rsidP="004536D1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15F44" w:rsidRPr="00D15F44" w:rsidRDefault="00D15F44" w:rsidP="00D15F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YENİERENKÖY / İSKELE BÖLGESİ</w:t>
            </w: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15F44" w:rsidRPr="00D15F44" w:rsidRDefault="008022E6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ÜMİT ANTEL</w:t>
            </w: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15F44" w:rsidRPr="00D15F44" w:rsidRDefault="00D15F44" w:rsidP="005E628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D15F4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</w:p>
        </w:tc>
        <w:tc>
          <w:tcPr>
            <w:tcW w:w="4717" w:type="dxa"/>
          </w:tcPr>
          <w:p w:rsidR="00D15F44" w:rsidRPr="00D15F44" w:rsidRDefault="00D15F44" w:rsidP="005E628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15F44" w:rsidRPr="00D15F44" w:rsidRDefault="00D15F44" w:rsidP="006D02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15F44" w:rsidRPr="00D15F44" w:rsidRDefault="00D15F44" w:rsidP="0008592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LEFKOŞA BÖLGESİ</w:t>
            </w:r>
          </w:p>
        </w:tc>
      </w:tr>
      <w:tr w:rsidR="00D15F44" w:rsidRPr="00D15F44" w:rsidTr="00D1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300448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15F44" w:rsidRPr="00D15F44" w:rsidRDefault="008446AD" w:rsidP="00300448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Duyurulacaktır.</w:t>
            </w:r>
          </w:p>
        </w:tc>
      </w:tr>
      <w:tr w:rsidR="00D15F44" w:rsidRPr="00D15F44" w:rsidTr="00D1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300448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15F44" w:rsidRPr="00D15F44" w:rsidRDefault="00D15F44" w:rsidP="00300448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473BE1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15F44" w:rsidRPr="00D15F44" w:rsidRDefault="00D15F44" w:rsidP="00473BE1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928" w:type="dxa"/>
          </w:tcPr>
          <w:p w:rsidR="00D15F44" w:rsidRPr="00D15F44" w:rsidRDefault="00D15F44" w:rsidP="00300448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15F44" w:rsidRPr="00D15F44" w:rsidRDefault="00D15F44" w:rsidP="0030044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15F44" w:rsidRPr="00D15F44" w:rsidRDefault="00D15F44" w:rsidP="009A6C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GÜZELYURT BÖLGESİ</w:t>
            </w: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9A6C3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15F44" w:rsidRPr="00D15F44" w:rsidRDefault="008022E6" w:rsidP="00D15F4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MEHMET</w:t>
            </w:r>
            <w:r w:rsidR="00D15F44"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ÖZERKMAN</w:t>
            </w: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9A6C3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15F44" w:rsidRPr="00D15F44" w:rsidRDefault="00D15F44" w:rsidP="009A6C3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15F44" w:rsidRPr="00D15F44" w:rsidRDefault="00D15F44" w:rsidP="00473BE1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15F44" w:rsidRPr="00D15F44" w:rsidRDefault="00D15F44" w:rsidP="00473BE1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</w:tcPr>
          <w:p w:rsidR="00D15F44" w:rsidRPr="00D15F44" w:rsidRDefault="00D15F44" w:rsidP="009A6C3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15F44" w:rsidRPr="00D15F44" w:rsidRDefault="00D15F44" w:rsidP="009A6C3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15F44" w:rsidRPr="00D15F44" w:rsidTr="00D15F44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44" w:rsidRPr="00D15F44" w:rsidRDefault="00D15F44" w:rsidP="00325F3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</w:tbl>
    <w:p w:rsidR="00D15F44" w:rsidRPr="00D15F44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Bölgelerin tur tarihleri tüm bölgelerde hakemler tarafından belirlenmiştir. </w:t>
      </w:r>
    </w:p>
    <w:p w:rsidR="00D15F44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Ödüller: İlk üç dereceye girenlere Kupa, turnuvayı tamamlayan 12 yaş altındaki katılımcı sporculara madalya verilir.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EE6AF7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Başvurular: </w:t>
      </w:r>
      <w:hyperlink r:id="rId11" w:history="1">
        <w:r w:rsidRPr="00EE6AF7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iletisim@kksf.org</w:t>
        </w:r>
      </w:hyperlink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– 223 6133</w:t>
      </w:r>
    </w:p>
    <w:p w:rsidR="00D15F44" w:rsidRDefault="00D15F44" w:rsidP="00D15F44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60EA0" w:rsidRPr="00EE6AF7" w:rsidRDefault="00660EA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Tüm sporcular bu yönergeyi okumuş ve kabul etmiş sayılırlar.</w:t>
      </w:r>
    </w:p>
    <w:p w:rsidR="00D15F44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sectPr w:rsidR="00022F4E" w:rsidRPr="00EF015D" w:rsidSect="00D15F44">
      <w:footerReference w:type="default" r:id="rId12"/>
      <w:pgSz w:w="11906" w:h="16838"/>
      <w:pgMar w:top="851" w:right="1418" w:bottom="851" w:left="1418" w:header="709" w:footer="35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E8" w:rsidRDefault="009E06E8" w:rsidP="00022F4E">
      <w:r>
        <w:separator/>
      </w:r>
    </w:p>
  </w:endnote>
  <w:endnote w:type="continuationSeparator" w:id="1">
    <w:p w:rsidR="009E06E8" w:rsidRDefault="009E06E8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Theme="majorHAnsi" w:hAnsiTheme="majorHAnsi"/>
        <w:b/>
        <w:sz w:val="20"/>
        <w:szCs w:val="20"/>
      </w:rPr>
    </w:pPr>
  </w:p>
  <w:p w:rsidR="00022F4E" w:rsidRPr="00022F4E" w:rsidRDefault="005172B8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88757B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88757B">
      <w:rPr>
        <w:rFonts w:asciiTheme="majorHAnsi" w:hAnsiTheme="majorHAnsi"/>
        <w:b/>
        <w:noProof/>
        <w:sz w:val="20"/>
        <w:szCs w:val="20"/>
      </w:rPr>
      <w:t>3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E8" w:rsidRDefault="009E06E8" w:rsidP="00022F4E">
      <w:r>
        <w:separator/>
      </w:r>
    </w:p>
  </w:footnote>
  <w:footnote w:type="continuationSeparator" w:id="1">
    <w:p w:rsidR="009E06E8" w:rsidRDefault="009E06E8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96C11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30363"/>
    <w:rsid w:val="0004501B"/>
    <w:rsid w:val="000454CA"/>
    <w:rsid w:val="000471EC"/>
    <w:rsid w:val="000531AD"/>
    <w:rsid w:val="000703D1"/>
    <w:rsid w:val="0008592A"/>
    <w:rsid w:val="00085BED"/>
    <w:rsid w:val="000B4686"/>
    <w:rsid w:val="000D4409"/>
    <w:rsid w:val="000E2277"/>
    <w:rsid w:val="001059CB"/>
    <w:rsid w:val="0010627D"/>
    <w:rsid w:val="00130D9A"/>
    <w:rsid w:val="001361A4"/>
    <w:rsid w:val="001412F8"/>
    <w:rsid w:val="00144A30"/>
    <w:rsid w:val="001622E3"/>
    <w:rsid w:val="001740FC"/>
    <w:rsid w:val="0017478C"/>
    <w:rsid w:val="001A13B8"/>
    <w:rsid w:val="001A682F"/>
    <w:rsid w:val="001C2FB3"/>
    <w:rsid w:val="001D027E"/>
    <w:rsid w:val="001D30CB"/>
    <w:rsid w:val="00200788"/>
    <w:rsid w:val="00206B8B"/>
    <w:rsid w:val="0021097D"/>
    <w:rsid w:val="00213DD7"/>
    <w:rsid w:val="00223B5E"/>
    <w:rsid w:val="00223EE5"/>
    <w:rsid w:val="0026358C"/>
    <w:rsid w:val="00264DAE"/>
    <w:rsid w:val="002950FA"/>
    <w:rsid w:val="0029582A"/>
    <w:rsid w:val="002B0481"/>
    <w:rsid w:val="002B137E"/>
    <w:rsid w:val="002B21FE"/>
    <w:rsid w:val="002B7092"/>
    <w:rsid w:val="002B7E59"/>
    <w:rsid w:val="002C7F73"/>
    <w:rsid w:val="002E1208"/>
    <w:rsid w:val="002F2ADE"/>
    <w:rsid w:val="00300448"/>
    <w:rsid w:val="00324B70"/>
    <w:rsid w:val="0034246B"/>
    <w:rsid w:val="00342E3D"/>
    <w:rsid w:val="00343077"/>
    <w:rsid w:val="00347FE4"/>
    <w:rsid w:val="00371AA4"/>
    <w:rsid w:val="00375822"/>
    <w:rsid w:val="003803B4"/>
    <w:rsid w:val="003902F5"/>
    <w:rsid w:val="003A701A"/>
    <w:rsid w:val="003B2EE6"/>
    <w:rsid w:val="003B49BF"/>
    <w:rsid w:val="003C08A8"/>
    <w:rsid w:val="003C1D3E"/>
    <w:rsid w:val="003C6271"/>
    <w:rsid w:val="003C7EFE"/>
    <w:rsid w:val="00402210"/>
    <w:rsid w:val="00402617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837FB"/>
    <w:rsid w:val="004861E7"/>
    <w:rsid w:val="00487E0F"/>
    <w:rsid w:val="004A2237"/>
    <w:rsid w:val="004B4373"/>
    <w:rsid w:val="004D2FFD"/>
    <w:rsid w:val="0050280C"/>
    <w:rsid w:val="00503019"/>
    <w:rsid w:val="005172B8"/>
    <w:rsid w:val="005368B2"/>
    <w:rsid w:val="00545041"/>
    <w:rsid w:val="005624ED"/>
    <w:rsid w:val="00575095"/>
    <w:rsid w:val="005849DD"/>
    <w:rsid w:val="00597A6F"/>
    <w:rsid w:val="005E2465"/>
    <w:rsid w:val="00614791"/>
    <w:rsid w:val="00614D9B"/>
    <w:rsid w:val="006418A6"/>
    <w:rsid w:val="00656190"/>
    <w:rsid w:val="00660EA0"/>
    <w:rsid w:val="00666B0F"/>
    <w:rsid w:val="0068775E"/>
    <w:rsid w:val="006B283D"/>
    <w:rsid w:val="006B2EE4"/>
    <w:rsid w:val="006B4247"/>
    <w:rsid w:val="006E70AE"/>
    <w:rsid w:val="006F6ECF"/>
    <w:rsid w:val="00727429"/>
    <w:rsid w:val="007275C9"/>
    <w:rsid w:val="00734CBC"/>
    <w:rsid w:val="00744673"/>
    <w:rsid w:val="007462C8"/>
    <w:rsid w:val="00765AF7"/>
    <w:rsid w:val="0077448F"/>
    <w:rsid w:val="00775DC0"/>
    <w:rsid w:val="00781E03"/>
    <w:rsid w:val="00783559"/>
    <w:rsid w:val="007C5573"/>
    <w:rsid w:val="007D7EFC"/>
    <w:rsid w:val="007F1CD8"/>
    <w:rsid w:val="007F4BA9"/>
    <w:rsid w:val="008022E6"/>
    <w:rsid w:val="008056B9"/>
    <w:rsid w:val="008446AD"/>
    <w:rsid w:val="00873090"/>
    <w:rsid w:val="008838B5"/>
    <w:rsid w:val="00884AFB"/>
    <w:rsid w:val="0088757B"/>
    <w:rsid w:val="00896215"/>
    <w:rsid w:val="008A7761"/>
    <w:rsid w:val="008E3AED"/>
    <w:rsid w:val="008E41CC"/>
    <w:rsid w:val="008E5E31"/>
    <w:rsid w:val="008E73C9"/>
    <w:rsid w:val="00903BFC"/>
    <w:rsid w:val="00904D52"/>
    <w:rsid w:val="00934E2E"/>
    <w:rsid w:val="00940B76"/>
    <w:rsid w:val="00947B34"/>
    <w:rsid w:val="00963814"/>
    <w:rsid w:val="00967DD7"/>
    <w:rsid w:val="009728C6"/>
    <w:rsid w:val="00981468"/>
    <w:rsid w:val="009C7FE5"/>
    <w:rsid w:val="009D06EF"/>
    <w:rsid w:val="009E06E8"/>
    <w:rsid w:val="00A13E24"/>
    <w:rsid w:val="00A273AC"/>
    <w:rsid w:val="00A36BA5"/>
    <w:rsid w:val="00A552CF"/>
    <w:rsid w:val="00A55D22"/>
    <w:rsid w:val="00A60A34"/>
    <w:rsid w:val="00A74991"/>
    <w:rsid w:val="00A9120B"/>
    <w:rsid w:val="00A945A3"/>
    <w:rsid w:val="00AB2C7F"/>
    <w:rsid w:val="00AB7CCE"/>
    <w:rsid w:val="00AE2D5F"/>
    <w:rsid w:val="00AE3B5F"/>
    <w:rsid w:val="00AE5F9D"/>
    <w:rsid w:val="00AF137C"/>
    <w:rsid w:val="00B038C6"/>
    <w:rsid w:val="00B1159E"/>
    <w:rsid w:val="00B2016C"/>
    <w:rsid w:val="00B27965"/>
    <w:rsid w:val="00BA1645"/>
    <w:rsid w:val="00BB3317"/>
    <w:rsid w:val="00BC5049"/>
    <w:rsid w:val="00BC74D8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66BC"/>
    <w:rsid w:val="00CB56E8"/>
    <w:rsid w:val="00CC6E50"/>
    <w:rsid w:val="00CE214D"/>
    <w:rsid w:val="00CF5F36"/>
    <w:rsid w:val="00D15F44"/>
    <w:rsid w:val="00D3555A"/>
    <w:rsid w:val="00D46D3C"/>
    <w:rsid w:val="00D57AA3"/>
    <w:rsid w:val="00D81056"/>
    <w:rsid w:val="00D84ABC"/>
    <w:rsid w:val="00D92F20"/>
    <w:rsid w:val="00DB2157"/>
    <w:rsid w:val="00DB2519"/>
    <w:rsid w:val="00DB71DE"/>
    <w:rsid w:val="00DC001E"/>
    <w:rsid w:val="00DE4426"/>
    <w:rsid w:val="00DE6B4D"/>
    <w:rsid w:val="00DF0537"/>
    <w:rsid w:val="00E10FCD"/>
    <w:rsid w:val="00E12BFA"/>
    <w:rsid w:val="00E2117A"/>
    <w:rsid w:val="00E26AF5"/>
    <w:rsid w:val="00E60F30"/>
    <w:rsid w:val="00E67200"/>
    <w:rsid w:val="00E745B7"/>
    <w:rsid w:val="00E81A41"/>
    <w:rsid w:val="00E9390D"/>
    <w:rsid w:val="00EA2715"/>
    <w:rsid w:val="00EB6007"/>
    <w:rsid w:val="00ED72CB"/>
    <w:rsid w:val="00EE6AF7"/>
    <w:rsid w:val="00F11AC9"/>
    <w:rsid w:val="00F12242"/>
    <w:rsid w:val="00F422FF"/>
    <w:rsid w:val="00F56D05"/>
    <w:rsid w:val="00F74DD2"/>
    <w:rsid w:val="00F8147C"/>
    <w:rsid w:val="00F82E10"/>
    <w:rsid w:val="00F95396"/>
    <w:rsid w:val="00F97BBA"/>
    <w:rsid w:val="00FB2D48"/>
    <w:rsid w:val="00FD09BD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3782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7</cp:revision>
  <cp:lastPrinted>2018-07-17T10:53:00Z</cp:lastPrinted>
  <dcterms:created xsi:type="dcterms:W3CDTF">2018-07-17T10:53:00Z</dcterms:created>
  <dcterms:modified xsi:type="dcterms:W3CDTF">2018-07-18T11:40:00Z</dcterms:modified>
</cp:coreProperties>
</file>